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FC3181"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FC3181"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3169"/>
        <w:gridCol w:w="12519"/>
      </w:tblGrid>
      <w:tr w:rsidR="00960B6D" w:rsidRPr="00FC3181" w14:paraId="78CFD238"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60C56282" w14:textId="0497A9AD" w:rsidR="00960B6D" w:rsidRPr="00960B6D" w:rsidRDefault="00960B6D" w:rsidP="00960B6D">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960B6D">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960B6D" w:rsidRPr="00FC3181" w:rsidRDefault="00960B6D" w:rsidP="00960B6D">
            <w:pPr>
              <w:spacing w:after="0" w:line="240" w:lineRule="auto"/>
              <w:jc w:val="center"/>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2</w:t>
            </w:r>
          </w:p>
        </w:tc>
      </w:tr>
      <w:tr w:rsidR="00960B6D" w:rsidRPr="00FC3181" w14:paraId="7AFD6A2D"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185AE756" w14:textId="4954FF54"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0B5DED28"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Акціонерне товариство "</w:t>
            </w:r>
            <w:proofErr w:type="spellStart"/>
            <w:r w:rsidRPr="00FC3181">
              <w:rPr>
                <w:rFonts w:ascii="Times New Roman" w:eastAsia="Times New Roman" w:hAnsi="Times New Roman" w:cs="Times New Roman"/>
                <w:kern w:val="0"/>
                <w:sz w:val="24"/>
                <w:szCs w:val="24"/>
                <w:lang w:eastAsia="uk-UA"/>
                <w14:ligatures w14:val="none"/>
              </w:rPr>
              <w:t>Менаагропостач</w:t>
            </w:r>
            <w:proofErr w:type="spellEnd"/>
            <w:r w:rsidRPr="00FC3181">
              <w:rPr>
                <w:rFonts w:ascii="Times New Roman" w:eastAsia="Times New Roman" w:hAnsi="Times New Roman" w:cs="Times New Roman"/>
                <w:kern w:val="0"/>
                <w:sz w:val="24"/>
                <w:szCs w:val="24"/>
                <w:lang w:eastAsia="uk-UA"/>
                <w14:ligatures w14:val="none"/>
              </w:rPr>
              <w:t>"</w:t>
            </w:r>
          </w:p>
        </w:tc>
      </w:tr>
      <w:tr w:rsidR="00960B6D" w:rsidRPr="00FC3181" w14:paraId="70060849"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578AC005" w14:textId="5CD41D2B"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70A0F11E"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00909325</w:t>
            </w:r>
          </w:p>
        </w:tc>
      </w:tr>
      <w:tr w:rsidR="00960B6D" w:rsidRPr="00FC3181" w14:paraId="19D7012E"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60748894" w14:textId="506FEACA"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58D6DA63"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вул. Віталія Горбача, буд. 22, м. </w:t>
            </w:r>
            <w:proofErr w:type="spellStart"/>
            <w:r w:rsidRPr="00FC3181">
              <w:rPr>
                <w:rFonts w:ascii="Times New Roman" w:eastAsia="Times New Roman" w:hAnsi="Times New Roman" w:cs="Times New Roman"/>
                <w:kern w:val="0"/>
                <w:sz w:val="24"/>
                <w:szCs w:val="24"/>
                <w:lang w:eastAsia="uk-UA"/>
                <w14:ligatures w14:val="none"/>
              </w:rPr>
              <w:t>Мена</w:t>
            </w:r>
            <w:proofErr w:type="spellEnd"/>
            <w:r w:rsidRPr="00FC3181">
              <w:rPr>
                <w:rFonts w:ascii="Times New Roman" w:eastAsia="Times New Roman" w:hAnsi="Times New Roman" w:cs="Times New Roman"/>
                <w:kern w:val="0"/>
                <w:sz w:val="24"/>
                <w:szCs w:val="24"/>
                <w:lang w:eastAsia="uk-UA"/>
                <w14:ligatures w14:val="none"/>
              </w:rPr>
              <w:t>, Корюківський р-н, Чернігівська обл., 15600, Україна</w:t>
            </w:r>
          </w:p>
        </w:tc>
      </w:tr>
      <w:tr w:rsidR="00960B6D" w:rsidRPr="00FC3181" w14:paraId="15832978"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6A1E38C8" w14:textId="708F1DFF"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30.04.2026</w:t>
            </w:r>
          </w:p>
        </w:tc>
      </w:tr>
      <w:tr w:rsidR="00960B6D" w:rsidRPr="00FC3181" w14:paraId="6920157E"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40F9F8A2" w14:textId="3D7EBEF1"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960B6D">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опитування (дистанційно)</w:t>
            </w:r>
          </w:p>
        </w:tc>
      </w:tr>
      <w:tr w:rsidR="00960B6D" w:rsidRPr="00FC3181" w14:paraId="2470FE88"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116C7F3C" w14:textId="426FEE68" w:rsidR="00960B6D" w:rsidRPr="00960B6D" w:rsidRDefault="00960B6D" w:rsidP="00960B6D">
            <w:pPr>
              <w:spacing w:after="0" w:line="240" w:lineRule="auto"/>
              <w:rPr>
                <w:rFonts w:ascii="Times New Roman" w:eastAsia="Times New Roman" w:hAnsi="Times New Roman" w:cs="Times New Roman"/>
                <w:kern w:val="0"/>
                <w:sz w:val="24"/>
                <w:szCs w:val="24"/>
                <w:highlight w:val="yellow"/>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960B6D">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7DCF4971"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w:t>
            </w:r>
          </w:p>
        </w:tc>
      </w:tr>
      <w:tr w:rsidR="00960B6D" w:rsidRPr="00FC3181" w14:paraId="5C73993A"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3702A722" w14:textId="5B19D0DD"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960B6D">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1EC4A9E2"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w:t>
            </w:r>
          </w:p>
        </w:tc>
      </w:tr>
      <w:tr w:rsidR="00960B6D" w:rsidRPr="00FC3181" w14:paraId="17452C29"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56D195E8" w14:textId="086E9A43"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27.04.2026</w:t>
            </w:r>
          </w:p>
        </w:tc>
      </w:tr>
      <w:tr w:rsidR="00960B6D" w:rsidRPr="00FC3181" w14:paraId="0A2BA657"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1FCDBE00" w14:textId="1620A601"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960B6D">
              <w:rPr>
                <w:rFonts w:ascii="Times New Roman" w:eastAsia="Times New Roman" w:hAnsi="Times New Roman" w:cs="Times New Roman"/>
                <w:kern w:val="0"/>
                <w:sz w:val="2"/>
                <w:szCs w:val="2"/>
                <w:vertAlign w:val="superscript"/>
                <w:lang w:eastAsia="uk-UA"/>
                <w14:ligatures w14:val="none"/>
              </w:rPr>
              <w:t xml:space="preserve"> </w:t>
            </w:r>
            <w:r w:rsidRPr="00960B6D">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 xml:space="preserve">Перелік питань, включених до </w:t>
            </w:r>
            <w:r w:rsidRPr="00FC3181">
              <w:rPr>
                <w:rFonts w:ascii="Times New Roman" w:eastAsia="Times New Roman" w:hAnsi="Times New Roman" w:cs="Times New Roman"/>
                <w:b/>
                <w:bCs/>
                <w:kern w:val="0"/>
                <w:sz w:val="24"/>
                <w:szCs w:val="24"/>
                <w:lang w:eastAsia="uk-UA"/>
                <w14:ligatures w14:val="none"/>
              </w:rPr>
              <w:t>проекту порядку денного</w:t>
            </w:r>
            <w:r w:rsidRPr="00FC3181">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1F4B91A0"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1. Розгляд звіту Наглядової ради за 2024 рік, прийняття рішення за результатами розгляду такого звіту.</w:t>
            </w:r>
          </w:p>
          <w:p w14:paraId="126EC90C" w14:textId="79ADFC41"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2024 рік.</w:t>
            </w:r>
          </w:p>
          <w:p w14:paraId="54A84981" w14:textId="1F04E3A2"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3. Затвердження порядку покриття збитків Товариства 2024 року.</w:t>
            </w:r>
          </w:p>
          <w:p w14:paraId="7E093F8D" w14:textId="12BD2EFD"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4. Розгляд звіту Наглядової ради за 2025 рік, прийняття рішення за результатами розгляду такого звіту.</w:t>
            </w:r>
          </w:p>
          <w:p w14:paraId="43D80699" w14:textId="3431C44B"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5. Затвердження результатів фінансово-господарської діяльності (річної фінансової звітності) Товариства за 2025 рік.</w:t>
            </w:r>
          </w:p>
          <w:p w14:paraId="5181F785" w14:textId="778C047E"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 xml:space="preserve">6. Розподіл прибутку Товариства 2025 року. </w:t>
            </w:r>
          </w:p>
          <w:p w14:paraId="7CAE8950"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09850CC4"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Існує взаємозв’язок питання № 3 з питанням № 2, питання № 6 з питанням № 5. Взаємозв’язок між іншими питаннями, включеними до проекту порядку денного, відсутній.</w:t>
            </w:r>
          </w:p>
          <w:p w14:paraId="67001B7E" w14:textId="4533FED4"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960B6D" w:rsidRPr="00FC3181" w14:paraId="6D0483B0"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75A1DB00" w14:textId="7D8D2789"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Проекти рішень (крім кумулятивного голосування) з </w:t>
            </w:r>
            <w:r w:rsidRPr="00960B6D">
              <w:rPr>
                <w:rFonts w:ascii="Times New Roman" w:eastAsia="Times New Roman" w:hAnsi="Times New Roman" w:cs="Times New Roman"/>
                <w:kern w:val="0"/>
                <w:sz w:val="24"/>
                <w:szCs w:val="24"/>
                <w:lang w:eastAsia="uk-UA"/>
                <w14:ligatures w14:val="none"/>
              </w:rPr>
              <w:lastRenderedPageBreak/>
              <w:t>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lastRenderedPageBreak/>
              <w:t>Проект рішення № 1 з питання № 1:</w:t>
            </w:r>
          </w:p>
          <w:p w14:paraId="352A061E" w14:textId="0C40C36A"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Затвердити звіт Наглядової ради за 2024 рік.</w:t>
            </w:r>
          </w:p>
          <w:p w14:paraId="28396BC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lastRenderedPageBreak/>
              <w:t>Проект рішення № 1 з питання № 2:</w:t>
            </w:r>
          </w:p>
          <w:p w14:paraId="0876F7A2" w14:textId="1F20EA1C"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2024 рік, складену за ПСБО (Баланс, Звіт про фінансові результати).</w:t>
            </w:r>
          </w:p>
          <w:p w14:paraId="5706BC4B"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Проект рішення № 1 з питання № 3:</w:t>
            </w:r>
          </w:p>
          <w:p w14:paraId="5DED8919" w14:textId="04714BEF"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Збитки в сумі 84,3 тис. грн, отримані за результатами діяльності Товариства у 2024 році, не покривати.</w:t>
            </w:r>
          </w:p>
          <w:p w14:paraId="7CB16197"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257CFAA" w14:textId="0FFB4A29"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Проект рішення № 1 з питання № 4:</w:t>
            </w:r>
          </w:p>
          <w:p w14:paraId="2DC69CED"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377F06CA"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1F34534B" w14:textId="0434E8B9"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Проект рішення № 1 з питання № 5:</w:t>
            </w:r>
          </w:p>
          <w:p w14:paraId="356C2AE8"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11B6C4C6"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BA7A624" w14:textId="6E236A12"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Проект рішення № 1 з питання № 6:</w:t>
            </w:r>
          </w:p>
          <w:p w14:paraId="554256B0" w14:textId="636E694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C3181">
              <w:rPr>
                <w:rFonts w:ascii="Times New Roman" w:eastAsia="Times New Roman" w:hAnsi="Times New Roman" w:cs="Times New Roman"/>
                <w:kern w:val="0"/>
                <w:sz w:val="24"/>
                <w:szCs w:val="24"/>
                <w:lang w:eastAsia="uk-UA"/>
                <w14:ligatures w14:val="none"/>
              </w:rPr>
              <w:t>Чистий прибуток в сумі 2.242,3 тис. грн, отриманий за результатами діяльності Товариства у 2025 році, не розподіляти.</w:t>
            </w:r>
          </w:p>
        </w:tc>
      </w:tr>
      <w:tr w:rsidR="00960B6D" w:rsidRPr="00FC3181" w14:paraId="0E44BA9A"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1B721C93" w14:textId="2B32B54C"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2824A259"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proofErr w:type="spellStart"/>
            <w:r w:rsidRPr="00FC3181">
              <w:rPr>
                <w:rFonts w:ascii="Times New Roman" w:eastAsia="Times New Roman" w:hAnsi="Times New Roman" w:cs="Times New Roman"/>
                <w:kern w:val="0"/>
                <w:sz w:val="24"/>
                <w:szCs w:val="24"/>
                <w:lang w:eastAsia="uk-UA"/>
                <w14:ligatures w14:val="none"/>
              </w:rPr>
              <w:t>http</w:t>
            </w:r>
            <w:proofErr w:type="spellEnd"/>
            <w:r w:rsidRPr="00FC3181">
              <w:rPr>
                <w:rFonts w:ascii="Times New Roman" w:eastAsia="Times New Roman" w:hAnsi="Times New Roman" w:cs="Times New Roman"/>
                <w:kern w:val="0"/>
                <w:sz w:val="24"/>
                <w:szCs w:val="24"/>
                <w:lang w:val="en-US" w:eastAsia="uk-UA"/>
                <w14:ligatures w14:val="none"/>
              </w:rPr>
              <w:t>s</w:t>
            </w:r>
            <w:r w:rsidRPr="00FC3181">
              <w:rPr>
                <w:rFonts w:ascii="Times New Roman" w:eastAsia="Times New Roman" w:hAnsi="Times New Roman" w:cs="Times New Roman"/>
                <w:kern w:val="0"/>
                <w:sz w:val="24"/>
                <w:szCs w:val="24"/>
                <w:lang w:eastAsia="uk-UA"/>
                <w14:ligatures w14:val="none"/>
              </w:rPr>
              <w:t>://menapost.pat.ua</w:t>
            </w:r>
          </w:p>
        </w:tc>
      </w:tr>
      <w:tr w:rsidR="00960B6D" w:rsidRPr="00FC3181" w14:paraId="397B9AC2"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4D2ABD3B" w14:textId="5361E845"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960B6D">
              <w:rPr>
                <w:rFonts w:ascii="Times New Roman" w:eastAsia="Times New Roman" w:hAnsi="Times New Roman" w:cs="Times New Roman"/>
                <w:b/>
                <w:bCs/>
                <w:kern w:val="0"/>
                <w:sz w:val="24"/>
                <w:szCs w:val="24"/>
                <w:vertAlign w:val="superscript"/>
                <w:lang w:eastAsia="uk-UA"/>
                <w14:ligatures w14:val="none"/>
              </w:rPr>
              <w:t>4</w:t>
            </w:r>
            <w:r w:rsidRPr="00960B6D">
              <w:rPr>
                <w:rFonts w:ascii="Times New Roman" w:eastAsia="Times New Roman" w:hAnsi="Times New Roman" w:cs="Times New Roman"/>
                <w:kern w:val="0"/>
                <w:sz w:val="24"/>
                <w:szCs w:val="24"/>
                <w:lang w:eastAsia="uk-UA"/>
                <w14:ligatures w14:val="none"/>
              </w:rPr>
              <w:t xml:space="preserve">, та посадова особа </w:t>
            </w:r>
            <w:r w:rsidRPr="00960B6D">
              <w:rPr>
                <w:rFonts w:ascii="Times New Roman" w:eastAsia="Times New Roman" w:hAnsi="Times New Roman" w:cs="Times New Roman"/>
                <w:kern w:val="0"/>
                <w:sz w:val="2"/>
                <w:szCs w:val="2"/>
                <w:lang w:eastAsia="uk-UA"/>
                <w14:ligatures w14:val="none"/>
              </w:rPr>
              <w:t>-</w:t>
            </w:r>
            <w:r w:rsidRPr="00960B6D">
              <w:rPr>
                <w:rFonts w:ascii="Times New Roman" w:eastAsia="Times New Roman" w:hAnsi="Times New Roman" w:cs="Times New Roman"/>
                <w:b/>
                <w:bCs/>
                <w:kern w:val="0"/>
                <w:sz w:val="24"/>
                <w:szCs w:val="24"/>
                <w:vertAlign w:val="superscript"/>
                <w:lang w:eastAsia="uk-UA"/>
                <w14:ligatures w14:val="none"/>
              </w:rPr>
              <w:t>5</w:t>
            </w:r>
            <w:r w:rsidRPr="00960B6D">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018BBDE6"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Кожедуб Михайло Вадимович, </w:t>
            </w:r>
            <w:proofErr w:type="spellStart"/>
            <w:r w:rsidRPr="00FC3181">
              <w:rPr>
                <w:rFonts w:ascii="Times New Roman" w:eastAsia="Times New Roman" w:hAnsi="Times New Roman" w:cs="Times New Roman"/>
                <w:kern w:val="0"/>
                <w:sz w:val="24"/>
                <w:szCs w:val="24"/>
                <w:lang w:eastAsia="uk-UA"/>
                <w14:ligatures w14:val="none"/>
              </w:rPr>
              <w:t>тел</w:t>
            </w:r>
            <w:proofErr w:type="spellEnd"/>
            <w:r w:rsidRPr="00FC3181">
              <w:rPr>
                <w:rFonts w:ascii="Times New Roman" w:eastAsia="Times New Roman" w:hAnsi="Times New Roman" w:cs="Times New Roman"/>
                <w:kern w:val="0"/>
                <w:sz w:val="24"/>
                <w:szCs w:val="24"/>
                <w:lang w:eastAsia="uk-UA"/>
                <w14:ligatures w14:val="none"/>
              </w:rPr>
              <w:t>. (093) 960 50 28.</w:t>
            </w:r>
          </w:p>
          <w:p w14:paraId="0D16B602"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960B6D" w:rsidRPr="00FC3181" w14:paraId="5FAAAFA7"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50506CDF" w14:textId="6E1879BA"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Інформація про права, надані акціонерам відповідно до вимог статей 27 і 28 Закону </w:t>
            </w:r>
            <w:r w:rsidRPr="00960B6D">
              <w:rPr>
                <w:rFonts w:ascii="Times New Roman" w:eastAsia="Times New Roman" w:hAnsi="Times New Roman" w:cs="Times New Roman"/>
                <w:kern w:val="0"/>
                <w:sz w:val="24"/>
                <w:szCs w:val="24"/>
                <w:lang w:eastAsia="uk-UA"/>
                <w14:ligatures w14:val="none"/>
              </w:rPr>
              <w:lastRenderedPageBreak/>
              <w:t>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lastRenderedPageBreak/>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w:t>
            </w:r>
            <w:r w:rsidRPr="00FC3181">
              <w:rPr>
                <w:rFonts w:ascii="Times New Roman" w:eastAsia="Times New Roman" w:hAnsi="Times New Roman" w:cs="Times New Roman"/>
                <w:kern w:val="0"/>
                <w:sz w:val="24"/>
                <w:szCs w:val="24"/>
                <w:lang w:eastAsia="uk-UA"/>
                <w14:ligatures w14:val="none"/>
              </w:rPr>
              <w:lastRenderedPageBreak/>
              <w:t xml:space="preserve">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960B6D" w:rsidRPr="00FC3181" w14:paraId="1C1EFDBC" w14:textId="77777777" w:rsidTr="00960B6D">
        <w:trPr>
          <w:trHeight w:val="60"/>
        </w:trPr>
        <w:tc>
          <w:tcPr>
            <w:tcW w:w="1010" w:type="pct"/>
            <w:tcBorders>
              <w:top w:val="single" w:sz="6" w:space="0" w:color="000000"/>
              <w:left w:val="single" w:sz="6" w:space="0" w:color="000000"/>
              <w:bottom w:val="single" w:sz="6" w:space="0" w:color="000000"/>
              <w:right w:val="single" w:sz="6" w:space="0" w:color="000000"/>
            </w:tcBorders>
          </w:tcPr>
          <w:p w14:paraId="5A9C0C63" w14:textId="3C02CC88"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960B6D" w:rsidRPr="00FC3181" w14:paraId="4B5D9853"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CE37786" w14:textId="526D4FE7"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FC3181">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lastRenderedPageBreak/>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960B6D" w:rsidRPr="00FC3181" w:rsidRDefault="00960B6D" w:rsidP="00960B6D">
            <w:pPr>
              <w:spacing w:after="0" w:line="240" w:lineRule="auto"/>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960B6D" w:rsidRPr="00FC3181" w14:paraId="408D7016"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398FA0E" w14:textId="469F2A3B"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960B6D">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48622B6E"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w:t>
            </w:r>
          </w:p>
        </w:tc>
      </w:tr>
      <w:tr w:rsidR="00960B6D" w:rsidRPr="00FC3181" w14:paraId="5C3BEA62"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D55F684" w14:textId="6324070D"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960B6D">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34BD951C"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https://menapost.pat.ua/documents/informaciya-dlya-akcioneriv-ta-steikholderiv, скрізь у тексті повідомлення – "</w:t>
            </w:r>
            <w:r w:rsidRPr="00FC3181">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FC3181">
              <w:rPr>
                <w:rFonts w:ascii="Times New Roman" w:eastAsia="Times New Roman" w:hAnsi="Times New Roman" w:cs="Times New Roman"/>
                <w:kern w:val="0"/>
                <w:sz w:val="24"/>
                <w:szCs w:val="24"/>
                <w:lang w:eastAsia="uk-UA"/>
                <w14:ligatures w14:val="none"/>
              </w:rPr>
              <w:t>".</w:t>
            </w:r>
          </w:p>
          <w:p w14:paraId="6D2269A6" w14:textId="0212A714"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FC3181">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tc>
      </w:tr>
      <w:tr w:rsidR="00960B6D" w:rsidRPr="00FC3181" w14:paraId="58C114FA"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7EDD626" w14:textId="782F73F5"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w:t>
            </w:r>
            <w:r w:rsidRPr="00960B6D">
              <w:rPr>
                <w:rFonts w:ascii="Times New Roman" w:eastAsia="Times New Roman" w:hAnsi="Times New Roman" w:cs="Times New Roman"/>
                <w:kern w:val="0"/>
                <w:sz w:val="24"/>
                <w:szCs w:val="24"/>
                <w:lang w:eastAsia="uk-UA"/>
                <w14:ligatures w14:val="none"/>
              </w:rPr>
              <w:lastRenderedPageBreak/>
              <w:t xml:space="preserve">депозитарної установи бюлетенів для голосування </w:t>
            </w:r>
            <w:r w:rsidRPr="00960B6D">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960B6D" w:rsidRPr="00FC3181" w:rsidRDefault="00960B6D" w:rsidP="00960B6D">
            <w:pPr>
              <w:spacing w:after="0" w:line="240" w:lineRule="auto"/>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lastRenderedPageBreak/>
              <w:t>Початок: 20.04.2026 11:00</w:t>
            </w:r>
          </w:p>
          <w:p w14:paraId="023C276C" w14:textId="1F8093EF" w:rsidR="00960B6D" w:rsidRPr="00FC3181" w:rsidRDefault="00960B6D" w:rsidP="00960B6D">
            <w:pPr>
              <w:spacing w:after="0" w:line="240" w:lineRule="auto"/>
              <w:jc w:val="both"/>
              <w:rPr>
                <w:rFonts w:ascii="Times New Roman" w:eastAsia="Times New Roman" w:hAnsi="Times New Roman" w:cs="Times New Roman"/>
                <w:i/>
                <w:iCs/>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Завершення: </w:t>
            </w:r>
            <w:r w:rsidRPr="00FC3181">
              <w:rPr>
                <w:rFonts w:ascii="Times New Roman" w:eastAsia="Times New Roman" w:hAnsi="Times New Roman" w:cs="Times New Roman"/>
                <w:kern w:val="0"/>
                <w:sz w:val="24"/>
                <w:szCs w:val="24"/>
                <w:lang w:val="en-US" w:eastAsia="uk-UA"/>
                <w14:ligatures w14:val="none"/>
              </w:rPr>
              <w:t>30</w:t>
            </w:r>
            <w:r w:rsidRPr="00FC3181">
              <w:rPr>
                <w:rFonts w:ascii="Times New Roman" w:eastAsia="Times New Roman" w:hAnsi="Times New Roman" w:cs="Times New Roman"/>
                <w:kern w:val="0"/>
                <w:sz w:val="24"/>
                <w:szCs w:val="24"/>
                <w:lang w:eastAsia="uk-UA"/>
                <w14:ligatures w14:val="none"/>
              </w:rPr>
              <w:t>.04.2026 18:00</w:t>
            </w:r>
          </w:p>
        </w:tc>
      </w:tr>
      <w:tr w:rsidR="00960B6D" w:rsidRPr="00FC3181" w14:paraId="7D078C1E"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9CF4CAD" w14:textId="4F806FF8"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960B6D">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FE01B91"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w:t>
            </w:r>
          </w:p>
        </w:tc>
      </w:tr>
      <w:tr w:rsidR="00960B6D" w:rsidRPr="00FC3181" w14:paraId="2D951076"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E3797D2" w14:textId="0D546193"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960B6D">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0A55CD01"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20.04.2026 та завершується о 18:00 </w:t>
            </w:r>
            <w:r w:rsidRPr="00FC3181">
              <w:rPr>
                <w:rFonts w:ascii="Times New Roman" w:eastAsia="Times New Roman" w:hAnsi="Times New Roman" w:cs="Times New Roman"/>
                <w:kern w:val="0"/>
                <w:sz w:val="24"/>
                <w:szCs w:val="24"/>
                <w:lang w:val="en-US" w:eastAsia="uk-UA"/>
                <w14:ligatures w14:val="none"/>
              </w:rPr>
              <w:t>30</w:t>
            </w:r>
            <w:r w:rsidRPr="00FC3181">
              <w:rPr>
                <w:rFonts w:ascii="Times New Roman" w:eastAsia="Times New Roman" w:hAnsi="Times New Roman" w:cs="Times New Roman"/>
                <w:kern w:val="0"/>
                <w:sz w:val="24"/>
                <w:szCs w:val="24"/>
                <w:lang w:eastAsia="uk-UA"/>
                <w14:ligatures w14:val="none"/>
              </w:rPr>
              <w:t xml:space="preserve">.04.2026. </w:t>
            </w:r>
          </w:p>
          <w:p w14:paraId="7CD2B6B3" w14:textId="1CBD2DAA"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snabpostach@gmail.com, скрізь у тексті повідомлення – "</w:t>
            </w:r>
            <w:r w:rsidRPr="00FC3181">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FC3181">
              <w:rPr>
                <w:rFonts w:ascii="Times New Roman" w:eastAsia="Times New Roman" w:hAnsi="Times New Roman" w:cs="Times New Roman"/>
                <w:kern w:val="0"/>
                <w:sz w:val="24"/>
                <w:szCs w:val="24"/>
                <w:lang w:eastAsia="uk-UA"/>
                <w14:ligatures w14:val="none"/>
              </w:rPr>
              <w:t>".</w:t>
            </w:r>
          </w:p>
          <w:p w14:paraId="38E44731" w14:textId="6A77D6A1"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lastRenderedPageBreak/>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lastRenderedPageBreak/>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FC3181">
              <w:rPr>
                <w:rFonts w:ascii="Times New Roman" w:eastAsia="Times New Roman" w:hAnsi="Times New Roman" w:cs="Times New Roman"/>
                <w:kern w:val="0"/>
                <w:sz w:val="24"/>
                <w:szCs w:val="24"/>
                <w:lang w:eastAsia="uk-UA"/>
                <w14:ligatures w14:val="none"/>
              </w:rPr>
              <w:t>дематеріалізації</w:t>
            </w:r>
            <w:proofErr w:type="spellEnd"/>
            <w:r w:rsidRPr="00FC3181">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960B6D" w:rsidRPr="00FC3181" w:rsidRDefault="00960B6D" w:rsidP="00960B6D">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960B6D" w:rsidRPr="00FC3181" w14:paraId="03D0DB12"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EA59836" w14:textId="79300E21"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709FA618"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Протокол засідання Наглядової ради № 1Д від 26.03.2026.</w:t>
            </w:r>
          </w:p>
        </w:tc>
      </w:tr>
      <w:tr w:rsidR="00960B6D" w:rsidRPr="00FC3181" w14:paraId="38370782" w14:textId="77777777" w:rsidTr="00960B6D">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6746268" w14:textId="439AFE00" w:rsidR="00960B6D" w:rsidRPr="00960B6D"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960B6D">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19A5CF1C" w:rsidR="00960B6D" w:rsidRPr="00FC3181" w:rsidRDefault="00960B6D" w:rsidP="00960B6D">
            <w:pPr>
              <w:spacing w:after="0" w:line="240" w:lineRule="auto"/>
              <w:rPr>
                <w:rFonts w:ascii="Times New Roman" w:eastAsia="Times New Roman" w:hAnsi="Times New Roman" w:cs="Times New Roman"/>
                <w:kern w:val="0"/>
                <w:sz w:val="24"/>
                <w:szCs w:val="24"/>
                <w:lang w:eastAsia="uk-UA"/>
                <w14:ligatures w14:val="none"/>
              </w:rPr>
            </w:pPr>
            <w:r w:rsidRPr="00FC3181">
              <w:rPr>
                <w:rFonts w:ascii="Times New Roman" w:eastAsia="Times New Roman" w:hAnsi="Times New Roman" w:cs="Times New Roman"/>
                <w:kern w:val="0"/>
                <w:sz w:val="24"/>
                <w:szCs w:val="24"/>
                <w:lang w:eastAsia="uk-UA"/>
                <w14:ligatures w14:val="none"/>
              </w:rPr>
              <w:t>30.03.2026</w:t>
            </w:r>
          </w:p>
        </w:tc>
      </w:tr>
    </w:tbl>
    <w:p w14:paraId="2DEA0DBE" w14:textId="77777777" w:rsidR="00FC3181" w:rsidRPr="00FC3181" w:rsidRDefault="00FC3181" w:rsidP="00FC3181">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FC3181">
        <w:rPr>
          <w:rFonts w:ascii="Times New Roman" w:eastAsia="Times New Roman" w:hAnsi="Times New Roman" w:cs="Times New Roman"/>
          <w:kern w:val="0"/>
          <w:sz w:val="24"/>
          <w:szCs w:val="24"/>
          <w:lang w:eastAsia="uk-UA"/>
          <w14:ligatures w14:val="none"/>
        </w:rPr>
        <w:t xml:space="preserve">__________ </w:t>
      </w:r>
    </w:p>
    <w:p w14:paraId="071E074C" w14:textId="77777777" w:rsidR="00FC3181" w:rsidRPr="007834F5" w:rsidRDefault="00FC3181" w:rsidP="00FC3181">
      <w:pPr>
        <w:spacing w:after="0" w:line="240" w:lineRule="auto"/>
        <w:rPr>
          <w:rFonts w:ascii="Times New Roman" w:hAnsi="Times New Roman" w:cs="Times New Roman"/>
          <w:sz w:val="24"/>
          <w:szCs w:val="24"/>
          <w:lang w:val="en-US"/>
        </w:rPr>
      </w:pPr>
      <w:r w:rsidRPr="00FC3181">
        <w:rPr>
          <w:rFonts w:ascii="Times New Roman" w:hAnsi="Times New Roman" w:cs="Times New Roman"/>
          <w:b/>
          <w:bCs/>
          <w:sz w:val="24"/>
          <w:szCs w:val="24"/>
          <w:vertAlign w:val="superscript"/>
        </w:rPr>
        <w:t>1</w:t>
      </w:r>
      <w:r w:rsidRPr="00FC3181">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2</w:t>
      </w:r>
      <w:r w:rsidRPr="00FC3181">
        <w:rPr>
          <w:rFonts w:ascii="Times New Roman" w:hAnsi="Times New Roman" w:cs="Times New Roman"/>
          <w:sz w:val="24"/>
          <w:szCs w:val="24"/>
        </w:rPr>
        <w:t xml:space="preserve"> У разі проведення очних або електронних загальних зборів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3</w:t>
      </w:r>
      <w:r w:rsidRPr="00FC3181">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4</w:t>
      </w:r>
      <w:r w:rsidRPr="00FC3181">
        <w:rPr>
          <w:rFonts w:ascii="Times New Roman" w:hAnsi="Times New Roman" w:cs="Times New Roman"/>
          <w:sz w:val="24"/>
          <w:szCs w:val="24"/>
        </w:rPr>
        <w:t xml:space="preserve"> Включаючи визначене місце для ознайомлення (номер кімнати, офісу тощо).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5</w:t>
      </w:r>
      <w:r w:rsidRPr="00FC3181">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6</w:t>
      </w:r>
      <w:r w:rsidRPr="00FC3181">
        <w:rPr>
          <w:rFonts w:ascii="Times New Roman" w:hAnsi="Times New Roman" w:cs="Times New Roman"/>
          <w:sz w:val="24"/>
          <w:szCs w:val="24"/>
        </w:rPr>
        <w:t xml:space="preserve"> У разі проведення електронних загальних зборів.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7</w:t>
      </w:r>
      <w:r w:rsidRPr="00FC3181">
        <w:rPr>
          <w:rFonts w:ascii="Times New Roman" w:hAnsi="Times New Roman" w:cs="Times New Roman"/>
          <w:sz w:val="24"/>
          <w:szCs w:val="24"/>
        </w:rPr>
        <w:t xml:space="preserve"> У разі проведення дистанційних загальних зборів.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8</w:t>
      </w:r>
      <w:r w:rsidRPr="00FC3181">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FC3181">
        <w:rPr>
          <w:rFonts w:ascii="Times New Roman" w:hAnsi="Times New Roman" w:cs="Times New Roman"/>
          <w:sz w:val="24"/>
          <w:szCs w:val="24"/>
        </w:rPr>
        <w:br/>
      </w:r>
      <w:r w:rsidRPr="00FC3181">
        <w:rPr>
          <w:rFonts w:ascii="Times New Roman" w:hAnsi="Times New Roman" w:cs="Times New Roman"/>
          <w:b/>
          <w:bCs/>
          <w:sz w:val="24"/>
          <w:szCs w:val="24"/>
          <w:vertAlign w:val="superscript"/>
        </w:rPr>
        <w:t>9</w:t>
      </w:r>
      <w:r w:rsidRPr="00FC3181">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FC3181" w:rsidRPr="007834F5" w:rsidSect="00652880">
      <w:pgSz w:w="16838" w:h="11906" w:orient="landscape" w:code="9"/>
      <w:pgMar w:top="1418"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E6A1" w14:textId="77777777" w:rsidR="00327DA0" w:rsidRDefault="00327DA0" w:rsidP="0015157B">
      <w:pPr>
        <w:spacing w:after="0" w:line="240" w:lineRule="auto"/>
      </w:pPr>
      <w:r>
        <w:separator/>
      </w:r>
    </w:p>
  </w:endnote>
  <w:endnote w:type="continuationSeparator" w:id="0">
    <w:p w14:paraId="78C0DB82" w14:textId="77777777" w:rsidR="00327DA0" w:rsidRDefault="00327DA0"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48E2" w14:textId="77777777" w:rsidR="00327DA0" w:rsidRDefault="00327DA0" w:rsidP="0015157B">
      <w:pPr>
        <w:spacing w:after="0" w:line="240" w:lineRule="auto"/>
      </w:pPr>
      <w:r>
        <w:separator/>
      </w:r>
    </w:p>
  </w:footnote>
  <w:footnote w:type="continuationSeparator" w:id="0">
    <w:p w14:paraId="7EF1F026" w14:textId="77777777" w:rsidR="00327DA0" w:rsidRDefault="00327DA0"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A53C6"/>
    <w:rsid w:val="000A6DCC"/>
    <w:rsid w:val="000B7381"/>
    <w:rsid w:val="000C53F7"/>
    <w:rsid w:val="00101762"/>
    <w:rsid w:val="00120814"/>
    <w:rsid w:val="00141707"/>
    <w:rsid w:val="0015157B"/>
    <w:rsid w:val="00156FDE"/>
    <w:rsid w:val="001816D8"/>
    <w:rsid w:val="0018281C"/>
    <w:rsid w:val="001B0EC6"/>
    <w:rsid w:val="001B4A8F"/>
    <w:rsid w:val="001B6AA7"/>
    <w:rsid w:val="001C7799"/>
    <w:rsid w:val="001D312F"/>
    <w:rsid w:val="00241A9E"/>
    <w:rsid w:val="0027354B"/>
    <w:rsid w:val="00327DA0"/>
    <w:rsid w:val="0033568F"/>
    <w:rsid w:val="00373484"/>
    <w:rsid w:val="00373BE2"/>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7EE9"/>
    <w:rsid w:val="00521307"/>
    <w:rsid w:val="00527EC9"/>
    <w:rsid w:val="00541023"/>
    <w:rsid w:val="00543507"/>
    <w:rsid w:val="00545C64"/>
    <w:rsid w:val="005D038D"/>
    <w:rsid w:val="005D2243"/>
    <w:rsid w:val="005D361B"/>
    <w:rsid w:val="00626114"/>
    <w:rsid w:val="00627AE7"/>
    <w:rsid w:val="00636D35"/>
    <w:rsid w:val="00637C87"/>
    <w:rsid w:val="00652880"/>
    <w:rsid w:val="00655BB2"/>
    <w:rsid w:val="00666668"/>
    <w:rsid w:val="006718A4"/>
    <w:rsid w:val="00683F3B"/>
    <w:rsid w:val="00691946"/>
    <w:rsid w:val="006D07E7"/>
    <w:rsid w:val="006E394E"/>
    <w:rsid w:val="00721C4E"/>
    <w:rsid w:val="007222FF"/>
    <w:rsid w:val="00730E3D"/>
    <w:rsid w:val="0074273C"/>
    <w:rsid w:val="0075472C"/>
    <w:rsid w:val="007A565F"/>
    <w:rsid w:val="007B0E35"/>
    <w:rsid w:val="007B27D6"/>
    <w:rsid w:val="007D4B98"/>
    <w:rsid w:val="007D55F4"/>
    <w:rsid w:val="007E244E"/>
    <w:rsid w:val="007E49B5"/>
    <w:rsid w:val="008140F0"/>
    <w:rsid w:val="00824197"/>
    <w:rsid w:val="008327DF"/>
    <w:rsid w:val="00840E52"/>
    <w:rsid w:val="00850D1C"/>
    <w:rsid w:val="00852EC7"/>
    <w:rsid w:val="008636D3"/>
    <w:rsid w:val="00875120"/>
    <w:rsid w:val="00883FB6"/>
    <w:rsid w:val="00885FA1"/>
    <w:rsid w:val="008A4480"/>
    <w:rsid w:val="008E5455"/>
    <w:rsid w:val="008F66DA"/>
    <w:rsid w:val="0091246E"/>
    <w:rsid w:val="00931E94"/>
    <w:rsid w:val="00931F36"/>
    <w:rsid w:val="0095752B"/>
    <w:rsid w:val="00960B6D"/>
    <w:rsid w:val="00963AAE"/>
    <w:rsid w:val="00995ECA"/>
    <w:rsid w:val="009A4670"/>
    <w:rsid w:val="009A4E37"/>
    <w:rsid w:val="009B5FCE"/>
    <w:rsid w:val="009C22A8"/>
    <w:rsid w:val="009D6A18"/>
    <w:rsid w:val="009E4A7C"/>
    <w:rsid w:val="00A25409"/>
    <w:rsid w:val="00A41A48"/>
    <w:rsid w:val="00A42A80"/>
    <w:rsid w:val="00A5040A"/>
    <w:rsid w:val="00A6037B"/>
    <w:rsid w:val="00A65C3B"/>
    <w:rsid w:val="00A96CA0"/>
    <w:rsid w:val="00AA1083"/>
    <w:rsid w:val="00AC3F16"/>
    <w:rsid w:val="00AD096A"/>
    <w:rsid w:val="00AD7D16"/>
    <w:rsid w:val="00AE1D2A"/>
    <w:rsid w:val="00B26462"/>
    <w:rsid w:val="00B40B79"/>
    <w:rsid w:val="00B42E7C"/>
    <w:rsid w:val="00B51CCD"/>
    <w:rsid w:val="00B53807"/>
    <w:rsid w:val="00B5627F"/>
    <w:rsid w:val="00B75C00"/>
    <w:rsid w:val="00BB46C1"/>
    <w:rsid w:val="00BD4A1E"/>
    <w:rsid w:val="00C00E63"/>
    <w:rsid w:val="00C03546"/>
    <w:rsid w:val="00C10DED"/>
    <w:rsid w:val="00C67D72"/>
    <w:rsid w:val="00C7664F"/>
    <w:rsid w:val="00C805E5"/>
    <w:rsid w:val="00C95DA0"/>
    <w:rsid w:val="00CC6635"/>
    <w:rsid w:val="00D126A5"/>
    <w:rsid w:val="00D33035"/>
    <w:rsid w:val="00D96BC8"/>
    <w:rsid w:val="00DA62F6"/>
    <w:rsid w:val="00DC0503"/>
    <w:rsid w:val="00DD14C7"/>
    <w:rsid w:val="00DE4810"/>
    <w:rsid w:val="00E06CC9"/>
    <w:rsid w:val="00E07B99"/>
    <w:rsid w:val="00E5232E"/>
    <w:rsid w:val="00E67F70"/>
    <w:rsid w:val="00E71983"/>
    <w:rsid w:val="00E737D2"/>
    <w:rsid w:val="00E77833"/>
    <w:rsid w:val="00E9229F"/>
    <w:rsid w:val="00EA2905"/>
    <w:rsid w:val="00EC6702"/>
    <w:rsid w:val="00ED32DA"/>
    <w:rsid w:val="00EE3393"/>
    <w:rsid w:val="00EF1987"/>
    <w:rsid w:val="00EF7FA7"/>
    <w:rsid w:val="00F00BA5"/>
    <w:rsid w:val="00F05E49"/>
    <w:rsid w:val="00F152C0"/>
    <w:rsid w:val="00F25D5B"/>
    <w:rsid w:val="00F352CD"/>
    <w:rsid w:val="00F76BA6"/>
    <w:rsid w:val="00F85A28"/>
    <w:rsid w:val="00F94296"/>
    <w:rsid w:val="00FA5F1E"/>
    <w:rsid w:val="00FA6ED1"/>
    <w:rsid w:val="00FC2DDC"/>
    <w:rsid w:val="00FC3181"/>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7</Pages>
  <Words>12281</Words>
  <Characters>7001</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130</cp:revision>
  <dcterms:created xsi:type="dcterms:W3CDTF">2024-02-19T11:42:00Z</dcterms:created>
  <dcterms:modified xsi:type="dcterms:W3CDTF">2026-03-30T12:05:00Z</dcterms:modified>
</cp:coreProperties>
</file>